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C37E27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Matematika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A12CB" w:rsidRPr="00D36ED2" w:rsidRDefault="00F27AAC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C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032CB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 (Lima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6A12CB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032CB9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37E27">
        <w:rPr>
          <w:rFonts w:ascii="Times New Roman" w:hAnsi="Times New Roman"/>
          <w:b/>
          <w:bCs/>
          <w:sz w:val="24"/>
          <w:lang w:val="id-ID"/>
        </w:rPr>
        <w:t>Matematika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6A12CB">
        <w:rPr>
          <w:rFonts w:ascii="Times New Roman" w:hAnsi="Times New Roman"/>
          <w:b/>
          <w:sz w:val="24"/>
          <w:lang w:val="en-ID"/>
        </w:rPr>
        <w:t xml:space="preserve">, </w:t>
      </w:r>
      <w:r w:rsidR="006A12CB">
        <w:rPr>
          <w:rFonts w:ascii="Times New Roman" w:hAnsi="Times New Roman"/>
          <w:b/>
          <w:sz w:val="24"/>
          <w:lang w:val="it-CH"/>
        </w:rPr>
        <w:t>Kelas/Semester</w:t>
      </w:r>
      <w:r w:rsidR="006A12CB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032CB9">
        <w:rPr>
          <w:rFonts w:ascii="Times New Roman" w:hAnsi="Times New Roman"/>
          <w:b/>
          <w:sz w:val="24"/>
          <w:lang w:val="en-ID"/>
        </w:rPr>
        <w:t>V (Lima</w:t>
      </w:r>
      <w:r w:rsidR="006A12CB">
        <w:rPr>
          <w:rFonts w:ascii="Times New Roman" w:hAnsi="Times New Roman"/>
          <w:b/>
          <w:sz w:val="24"/>
          <w:lang w:val="it-CH"/>
        </w:rPr>
        <w:t xml:space="preserve">) / </w:t>
      </w:r>
      <w:r w:rsidR="006A12CB">
        <w:rPr>
          <w:rFonts w:ascii="Times New Roman" w:hAnsi="Times New Roman"/>
          <w:b/>
          <w:sz w:val="24"/>
          <w:lang w:val="id-ID"/>
        </w:rPr>
        <w:t>I</w:t>
      </w:r>
      <w:r w:rsidR="006A12CB">
        <w:rPr>
          <w:rFonts w:ascii="Times New Roman" w:hAnsi="Times New Roman"/>
          <w:b/>
          <w:sz w:val="24"/>
          <w:lang w:val="it-CH"/>
        </w:rPr>
        <w:t xml:space="preserve"> (</w:t>
      </w:r>
      <w:r w:rsidR="006A12CB">
        <w:rPr>
          <w:rFonts w:ascii="Times New Roman" w:hAnsi="Times New Roman"/>
          <w:b/>
          <w:sz w:val="24"/>
          <w:lang w:val="id-ID"/>
        </w:rPr>
        <w:t>Ganjil</w:t>
      </w:r>
      <w:r w:rsidR="006A12CB"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182DF6" w:rsidRPr="003942CF" w:rsidRDefault="00182DF6" w:rsidP="00182DF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, murid memiliki kemampuan sebagai berikut:</w:t>
      </w:r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Bilangan</w:t>
      </w:r>
    </w:p>
    <w:p w:rsidR="00C37E2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Aljabar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Pengukuran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Geometri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Analisis Data dan Peluang</w:t>
      </w:r>
    </w:p>
    <w:p w:rsidR="00C37E2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182DF6" w:rsidRPr="00182DF6" w:rsidRDefault="00182DF6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E5685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Bilangan Desimal dan Bilangan Bulat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hubungan antara bilangan bulat dan bilangan desimal dalam sistem nilai tempat berbasis 10 melalui diskusi dan eksplorasi visual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menentukan hasil perkalian sebuah bilangan dengan 10 dan 100 serta hasil dari 1/10 dan 1/100 dari sebuah bilangan dengan menggeser tanda koma melalui latihan terbimbing dan penemuan pola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Pengukuran per Kuantitas Unit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nilai rata-rata dari sekumpulan data untuk membuat perbandingan yang adil melalui diskusi dan pemecahan masalah kontekstual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menganalisis dan menghitung pengukuran per kuantitas unit (kepadatan, harga satuan, kecepatan) untuk menyelesaikan masalah perbandingan dalam kehidupan sehari-hari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Perkalian Bilangan Desimal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perkalian bilangan bulat dengan bilangan desimal serta perkalian antar bilangan desimal menggunakan metode bersusun dan aturan tanda koma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dampak pengali yang kurang dari 1 terhadap hasil perkalian dan menerapkan berbagai aturan perhitungan (komutatif, asosiatif, distributif) untuk menyelesaikan masalah perkalian desimal secara efisien.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Kekongruenan dan Sudut dari Bangun Datar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sifat-sifat bangun datar yang kongruen dan menggambar segitiga serta segiempat yang kongruen menggunakan jangka dan busur derajat secara akurat.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menemukan dan membuktikan jumlah besar sudut dalam segitiga dan segiempat, serta menggunakannya untuk menghitung besar sudut yang tidak diketahui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Pembagian Bilangan Desimal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pembagian yang melibatkan bilangan desimal (bilangan bulat ÷ desimal dan desimal ÷ desimal) dengan menerapkan aturan pergeseran tanda koma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menyelesaikan masalah pembagian desimal yang melibatkan sisa dan pembulatan, serta menganalisis dampak pembagi yang kurang dari 1 terhadap hasil bagi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Volume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konsep volume dan rumusnya (panjang × lebar × tinggi) melalui kegiatan eksplorasi dengan kubus satuan, serta menghitung volume kubus dan balok secara akurat.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menerapkan rumus volume untuk menyelesaikan masalah yang berkaitan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dengan satuan volume yang lebih besar (m³) dan menghubungkan konsep volume dengan kapasitas (liter dan mililiter)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7 : Kelipatan dan Faktor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menentukan kelipatan, kelipatan persekutuan, dan Kelipatan Persekutuan Terkecil (KPK) dari dua bilangan melalui permainan dan pemecahan masalah kontekstual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menentukan faktor, faktor persekutuan, dan Faktor Persekutuan Terbesar (FPB) dari dua bilangan untuk menyelesaikan masalah yang berkaitan dengan pengelompokan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Pecahan</w:t>
            </w: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menemukan, membandingkan, dan menyederhanakan pecahan senilai dengan menyamakan penyebut melalui kegiatan eksplorasi visual dan latihan terbimbing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merepresentasikan hubungan antara hasil bagi, pecahan, bilangan desimal, dan bilangan bulat, serta membandingkannya menggunakan garis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bilangan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5F25A4" w:rsidRDefault="00E56851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E56851" w:rsidRPr="005F25A4" w:rsidRDefault="00E56851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C37E27">
        <w:rPr>
          <w:rFonts w:ascii="Times New Roman" w:hAnsi="Times New Roman"/>
          <w:b/>
          <w:bCs/>
          <w:sz w:val="24"/>
          <w:lang w:val="id-ID"/>
        </w:rPr>
        <w:t>Matematika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F27AAC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>Fase C</w:t>
      </w:r>
      <w:r w:rsidR="00A04BC9">
        <w:rPr>
          <w:rFonts w:ascii="Times New Roman" w:hAnsi="Times New Roman"/>
          <w:b/>
          <w:sz w:val="24"/>
          <w:lang w:val="en-ID"/>
        </w:rPr>
        <w:t xml:space="preserve">, </w:t>
      </w:r>
      <w:r w:rsidR="00A04BC9">
        <w:rPr>
          <w:rFonts w:ascii="Times New Roman" w:hAnsi="Times New Roman"/>
          <w:b/>
          <w:sz w:val="24"/>
          <w:lang w:val="it-CH"/>
        </w:rPr>
        <w:t>Kelas/Semester</w:t>
      </w:r>
      <w:r w:rsidR="00A04BC9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032CB9">
        <w:rPr>
          <w:rFonts w:ascii="Times New Roman" w:hAnsi="Times New Roman"/>
          <w:b/>
          <w:sz w:val="24"/>
          <w:lang w:val="en-ID"/>
        </w:rPr>
        <w:t>V (Lima</w:t>
      </w:r>
      <w:r w:rsidR="00A04BC9"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 w:rsidR="00A04BC9">
        <w:rPr>
          <w:rFonts w:ascii="Times New Roman" w:hAnsi="Times New Roman"/>
          <w:b/>
          <w:sz w:val="24"/>
          <w:lang w:val="it-CH"/>
        </w:rPr>
        <w:t xml:space="preserve">/ </w:t>
      </w:r>
      <w:r w:rsidR="00A04BC9"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 w:rsidR="00A04BC9"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F0549A" w:rsidRPr="006A12CB" w:rsidRDefault="00F0549A" w:rsidP="00F0549A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F0549A" w:rsidRPr="003942CF" w:rsidRDefault="00F0549A" w:rsidP="00F0549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, murid memiliki kemampuan sebagai berikut:</w:t>
      </w:r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Bilangan</w:t>
      </w:r>
    </w:p>
    <w:p w:rsidR="00C37E2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Menunjukkan pemahaman dan intuisi bilangan (number sense) pada bilangan cacah sampai 1.000.000; membaca, menulis, menentukan nilai tempat, membandingkan, mengurutkan, melakukan komposisi dan dekomposisi bilangan; menyelesaikan masalah yang berkaitan dengan uang; melakukan operasi penjumlahan, pengurangan, perkalian, dan pembagian bilangan cacah sampai 100.000; serta menyelesaikan masalah yang berkaitan dengan KPK dan FPB. 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Murid dapat membandingkan dan mengurutkan berbagai pecahan termasuk pecahan campuran, melakukan operasi penjumlahan dan pengurangan pecahan, serta melakukan operasi perkalian dan pembagian pecahan dengan bilangan asli; mengubah pecahan menjadi berbagai bentuk pecahan lain, sertamembandingkan dan mengurutkan bilangan desimal (satu angka di belakang koma)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Aljabar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Menemukan nilai yang belum diketahui dalam kalimat matematika yang melibatkan penjumlahan, pengurangan, perkalian, dan pembagian pada bilangan cacah sampai 1000 dengan menggunakan sifat-sifat bilangan dan operasinya.</w:t>
      </w:r>
      <w:proofErr w:type="gramEnd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Murid dapat mengidentifikasi, meniru, dan mengembangkan pola bilangan membesar dan mengecil yang melibatkan perkalian dan pembagian; bernalar secara proporsional untuk menyelesaikan masalah sehari-hari dengan rasio satuan; menggunakan operasi perkalian dan pembagian dalam menyelesaikan masalah sehari- hari yang terkait dengan proporsi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Pengukuran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Menentukan keliling dan luas berbagai bentuk bangun datar (segitiga, segiempat, dan segi banyak) serta gabungannya; menghitung durasi waktu dan mengukur besar sudut pada bangun datar atau yang dibentuk dari dua garis berpotongan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Geometri</w:t>
      </w:r>
    </w:p>
    <w:p w:rsidR="00C37E27" w:rsidRPr="00BB31D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Mengkonstruksi dan mengurai bangun ruang (kubus, balok, dan gabungannya) dan mengenali visualisasi spasial (bagian depan, atas, dan samping); membandingkan karakteristik antar bangun datar dan antar bangun ruang; serta menentukan lokasi pada peta yang menggunakan sistem berpetak</w:t>
      </w: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r w:rsidRPr="00BB31D7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C37E27" w:rsidRPr="00BB31D7" w:rsidRDefault="00C37E27" w:rsidP="00C37E27">
      <w:pPr>
        <w:pStyle w:val="Heading4"/>
        <w:keepNext w:val="0"/>
        <w:keepLines w:val="0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Theme="majorBidi" w:eastAsia="Google Sans" w:hAnsiTheme="majorBidi"/>
          <w:color w:val="1B1C1D"/>
        </w:rPr>
      </w:pPr>
      <w:r w:rsidRPr="00BB31D7">
        <w:rPr>
          <w:rFonts w:asciiTheme="majorBidi" w:eastAsia="Google Sans" w:hAnsiTheme="majorBidi"/>
          <w:color w:val="1B1C1D"/>
        </w:rPr>
        <w:t>Analisis Data dan Peluang</w:t>
      </w:r>
    </w:p>
    <w:p w:rsidR="00C37E27" w:rsidRDefault="00C37E27" w:rsidP="00C37E2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74499F">
        <w:rPr>
          <w:rFonts w:asciiTheme="majorBidi" w:eastAsia="Google Sans Text" w:hAnsiTheme="majorBidi" w:cstheme="majorBidi"/>
          <w:color w:val="1B1C1D"/>
          <w:sz w:val="24"/>
          <w:szCs w:val="24"/>
        </w:rPr>
        <w:t>Mengurutkan, membandingkan, menyajikan, dan menganalisis data banyak benda dan data hasil pengukuran dalam bentuk gambar, piktogram, diagram batang, dan tabel frekuensiuntuk mendapatkan informasi; menentukan kejadian dengan kemungkinan yang lebih besar atau lebih kecil dalam suatu percobaan acak.</w:t>
      </w:r>
      <w:proofErr w:type="gramEnd"/>
    </w:p>
    <w:p w:rsidR="00A04BC9" w:rsidRPr="00F0549A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E56851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9 : Penjumlahan dan Pengurangan Pecahan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penjumlahan pecahan biasa dan campuran yang berpenyebut beda dengan menyamakan penyebutnya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melakukan operasi pengurangan pecahan biasa dan campuran yang berpenyebut beda, termasuk kasus yang memerlukan "meminjam",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Perkalian dan Pembagian Pecahan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menganalisis dan menghitung hasil perkalian pecahan (biasa dan campuran) dengan bilangan bulat menggunakan diagram dan prosedur matematis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menghitung hasil pembagian pecahan (biasa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 campuran) dengan bilangan bulat menggunakan diagram dan prosedur matematis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11 : Luas Bangun Datar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menerapkan rumus luas jajargenjang dan segitiga dengan cara mengubah bentuk bangun datar tersebut menjadi bentuk yang sudah dikenal rumusnya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dan menerapkan rumus luas trapesium dan belah ketupat dengan membaginya menjadi bangun-bangun datar yang sudah dipelajari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12 : Perbandingan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dua kuantitas yang berubah secara bersamaan dalam suatu situasi dan merepresentasikan hubungannya dalam tabel serta kalimat matematika sederhana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menentukan apakah hubungan antara dua kuantitas bersifat sebanding (proporsional) dengan mengamati pola perubahannya secara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13 : Segi Banyak Beraturan dan Lingkaran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 sifat-sifat segi banyak beraturan dan menggambarnya menggunakan lingkaran, jangka, serta busur derajat secara akurat.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menemukan hubungan proporsional antara diameter dan keliling lingkaran (rasio keliling ≈ 3</w:t>
            </w:r>
            <w:proofErr w:type="gramStart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,14</w:t>
            </w:r>
            <w:proofErr w:type="gramEnd"/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melalui eksperimen dan menerapkannya untuk menghitung keliling lingkaran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14 : Bangun Ruang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mengidentifikasi, mengklasifikasikan, dan mendeskripsikan sifat-sifat bangun ruang, khususnya prisma dan tabung, berdasarkan bentuk alas, sisi tegak, dan komponen lainnya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dapat merepresentasikan bangun ruang prisma dan tabung dalam bentuk dua dimensi melalui gambar sketsa dan jaring-jaring (rebahan) secara akurat.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E56851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0F75F4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15 : Rasio dan Diagram</w:t>
            </w: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dapat menganalisis dan </w:t>
            </w: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menghitung rasio dari dua kuantitas, serta mengubahnya ke dalam bentuk bilangan desimal dan persentase untuk menyelesaikan masalah perbandingan secara tepat.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0F75F4" w:rsidRDefault="00E56851" w:rsidP="00654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F75F4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dapat menyajikan data rasio atau persentase dalam bentuk diagram pita dan diagram lingkaran, serta menginterpretasi informasi dari diagram tersebut secara benar.</w:t>
            </w:r>
          </w:p>
        </w:tc>
        <w:tc>
          <w:tcPr>
            <w:tcW w:w="456" w:type="pct"/>
            <w:shd w:val="clear" w:color="auto" w:fill="auto"/>
          </w:tcPr>
          <w:p w:rsidR="00E56851" w:rsidRPr="005E765E" w:rsidRDefault="00E56851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56851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E56851" w:rsidRPr="005F25A4" w:rsidRDefault="00E56851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E56851" w:rsidRPr="005F25A4" w:rsidRDefault="00E56851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E56851" w:rsidRPr="005F25A4" w:rsidRDefault="00E56851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63E" w:rsidRDefault="00D4063E">
      <w:pPr>
        <w:spacing w:after="0" w:line="240" w:lineRule="auto"/>
      </w:pPr>
      <w:r>
        <w:separator/>
      </w:r>
    </w:p>
  </w:endnote>
  <w:endnote w:type="continuationSeparator" w:id="0">
    <w:p w:rsidR="00D4063E" w:rsidRDefault="00D4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  <w:font w:name="Google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63E" w:rsidRDefault="00D4063E">
      <w:pPr>
        <w:spacing w:after="0" w:line="240" w:lineRule="auto"/>
      </w:pPr>
      <w:r>
        <w:separator/>
      </w:r>
    </w:p>
  </w:footnote>
  <w:footnote w:type="continuationSeparator" w:id="0">
    <w:p w:rsidR="00D4063E" w:rsidRDefault="00D4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2CB9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2DF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399F"/>
    <w:rsid w:val="004D62A7"/>
    <w:rsid w:val="004D674D"/>
    <w:rsid w:val="004D6A09"/>
    <w:rsid w:val="004E0CDD"/>
    <w:rsid w:val="004E451A"/>
    <w:rsid w:val="004E6F08"/>
    <w:rsid w:val="004F1D3C"/>
    <w:rsid w:val="004F24B4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33EC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21C2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0FEF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19F8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37E27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2A10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63E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407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393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85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0E61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549A"/>
    <w:rsid w:val="00F0731C"/>
    <w:rsid w:val="00F1056B"/>
    <w:rsid w:val="00F13E67"/>
    <w:rsid w:val="00F217CB"/>
    <w:rsid w:val="00F21A95"/>
    <w:rsid w:val="00F2653A"/>
    <w:rsid w:val="00F27AAC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2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E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C37E2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FA8F-7DD9-4EE7-BAA6-3C6DFE09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12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457</cp:revision>
  <cp:lastPrinted>2022-07-24T14:23:00Z</cp:lastPrinted>
  <dcterms:created xsi:type="dcterms:W3CDTF">2016-08-26T05:34:00Z</dcterms:created>
  <dcterms:modified xsi:type="dcterms:W3CDTF">2025-08-22T13:13:00Z</dcterms:modified>
</cp:coreProperties>
</file>