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75" w:rsidRDefault="00C16A75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C16A75" w:rsidRDefault="00C16A75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C16A75" w:rsidRDefault="00C16A75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C16A75" w:rsidRDefault="00C16A75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C16A75" w:rsidRPr="00C16A75" w:rsidRDefault="00C16A75" w:rsidP="00C16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C16A75" w:rsidRPr="00C16A75" w:rsidRDefault="00C16A75" w:rsidP="00C16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C16A75" w:rsidRPr="00C16A75" w:rsidRDefault="00C16A75" w:rsidP="00C16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C16A75">
        <w:rPr>
          <w:rFonts w:ascii="Times New Roman" w:eastAsia="Calibri" w:hAnsi="Times New Roman"/>
          <w:b/>
          <w:bCs/>
          <w:noProof/>
          <w:color w:val="000000"/>
        </w:rPr>
        <w:drawing>
          <wp:inline distT="0" distB="0" distL="0" distR="0" wp14:anchorId="3D7DD725" wp14:editId="1FB382D5">
            <wp:extent cx="1583727" cy="1598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27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75" w:rsidRPr="00C16A75" w:rsidRDefault="00C16A75" w:rsidP="00C16A75">
      <w:pPr>
        <w:spacing w:after="0" w:line="240" w:lineRule="auto"/>
        <w:jc w:val="center"/>
        <w:rPr>
          <w:rFonts w:ascii="Times New Roman" w:hAnsi="Times New Roman"/>
        </w:rPr>
      </w:pPr>
    </w:p>
    <w:p w:rsidR="00C16A75" w:rsidRPr="00C16A75" w:rsidRDefault="00C16A75" w:rsidP="00C16A75">
      <w:pPr>
        <w:spacing w:after="0" w:line="240" w:lineRule="auto"/>
        <w:rPr>
          <w:rFonts w:ascii="Times New Roman" w:hAnsi="Times New Roman"/>
        </w:rPr>
      </w:pPr>
    </w:p>
    <w:tbl>
      <w:tblPr>
        <w:tblW w:w="9238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C16A75" w:rsidRPr="00C16A75" w:rsidTr="00D51856">
        <w:trPr>
          <w:trHeight w:val="620"/>
          <w:jc w:val="center"/>
        </w:trPr>
        <w:tc>
          <w:tcPr>
            <w:tcW w:w="9238" w:type="dxa"/>
            <w:tcBorders>
              <w:bottom w:val="nil"/>
            </w:tcBorders>
            <w:shd w:val="clear" w:color="auto" w:fill="auto"/>
            <w:vAlign w:val="center"/>
          </w:tcPr>
          <w:p w:rsidR="00C16A75" w:rsidRPr="00C16A75" w:rsidRDefault="00C16A75" w:rsidP="00C16A7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</w:pPr>
            <w:r w:rsidRPr="00C16A75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PROGRAM TAHUNAN</w:t>
            </w:r>
          </w:p>
          <w:p w:rsidR="00C16A75" w:rsidRPr="00C16A75" w:rsidRDefault="00C16A75" w:rsidP="00C16A7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A75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C16A75" w:rsidRPr="00C16A75" w:rsidTr="00D51856">
        <w:trPr>
          <w:trHeight w:val="620"/>
          <w:jc w:val="center"/>
        </w:trPr>
        <w:tc>
          <w:tcPr>
            <w:tcW w:w="9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16A75" w:rsidRPr="00C16A75" w:rsidRDefault="00C16A75" w:rsidP="00C16A75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1E4853" w:rsidRPr="00C16A75" w:rsidRDefault="001E4853" w:rsidP="001E4853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16A75" w:rsidRPr="00C16A75" w:rsidRDefault="001C7671" w:rsidP="00C16A75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Institusi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</w:t>
            </w:r>
            <w:r w:rsidR="001268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16A75" w:rsidRPr="00C16A75" w:rsidRDefault="00C16A75" w:rsidP="00C16A75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       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16A75" w:rsidRPr="00C16A75" w:rsidRDefault="00C16A75" w:rsidP="00C16A75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E878C1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Geografi</w:t>
            </w:r>
          </w:p>
          <w:p w:rsidR="00C16A75" w:rsidRPr="00C16A75" w:rsidRDefault="002B5F04" w:rsidP="00C16A75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F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176CC3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XII (Dua Belas)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Ganjil</w:t>
            </w:r>
            <w:proofErr w:type="spellEnd"/>
            <w:r w:rsidR="00C16A75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="00294383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&amp; II (Genap)</w:t>
            </w:r>
          </w:p>
          <w:p w:rsidR="00C16A75" w:rsidRPr="00C16A75" w:rsidRDefault="00C16A75" w:rsidP="00C16A75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C16A75" w:rsidRPr="00C16A75" w:rsidRDefault="00C16A75" w:rsidP="00C16A75">
      <w:pPr>
        <w:spacing w:after="0" w:line="240" w:lineRule="auto"/>
        <w:jc w:val="center"/>
        <w:rPr>
          <w:rFonts w:ascii="Times New Roman" w:hAnsi="Times New Roman"/>
          <w:b/>
          <w:color w:val="00B0F0"/>
          <w:lang w:val="id-ID"/>
        </w:rPr>
      </w:pPr>
    </w:p>
    <w:p w:rsidR="00C16A75" w:rsidRDefault="00C16A75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C16A75" w:rsidRDefault="00C16A75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935743" w:rsidRDefault="00F86BAC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F86BAC">
        <w:rPr>
          <w:rFonts w:ascii="Times New Roman" w:hAnsi="Times New Roman"/>
          <w:b/>
          <w:sz w:val="28"/>
          <w:szCs w:val="28"/>
          <w:lang w:val="en-ID"/>
        </w:rPr>
        <w:lastRenderedPageBreak/>
        <w:t>PROGRAM TAHUNAN</w:t>
      </w:r>
    </w:p>
    <w:p w:rsidR="002C321B" w:rsidRDefault="00F86BAC" w:rsidP="0035471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86BAC">
        <w:rPr>
          <w:rFonts w:ascii="Times New Roman" w:hAnsi="Times New Roman"/>
          <w:b/>
          <w:sz w:val="28"/>
          <w:szCs w:val="28"/>
          <w:lang w:val="en-ID"/>
        </w:rPr>
        <w:t>KURIKULUM MERDEKA</w:t>
      </w:r>
    </w:p>
    <w:p w:rsidR="00172F00" w:rsidRPr="00BF475B" w:rsidRDefault="00172F00" w:rsidP="00BF475B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BF475B" w:rsidRDefault="00172F00" w:rsidP="00BF475B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BF475B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BF475B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E878C1">
        <w:rPr>
          <w:rFonts w:ascii="Times New Roman" w:hAnsi="Times New Roman"/>
          <w:b/>
          <w:bCs/>
          <w:sz w:val="24"/>
          <w:szCs w:val="24"/>
          <w:lang w:val="id-ID"/>
        </w:rPr>
        <w:t>Geografi</w:t>
      </w:r>
    </w:p>
    <w:p w:rsidR="00172F00" w:rsidRPr="00BF475B" w:rsidRDefault="00E878C1" w:rsidP="00BF475B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E878C1">
        <w:rPr>
          <w:rFonts w:ascii="Times New Roman" w:hAnsi="Times New Roman"/>
          <w:b/>
          <w:sz w:val="24"/>
          <w:szCs w:val="24"/>
          <w:lang w:val="fi-FI"/>
        </w:rPr>
        <w:t>Instansi</w:t>
      </w:r>
      <w:r w:rsidR="00172F00" w:rsidRPr="00BF475B">
        <w:rPr>
          <w:rFonts w:ascii="Times New Roman" w:hAnsi="Times New Roman"/>
          <w:b/>
          <w:sz w:val="24"/>
          <w:szCs w:val="24"/>
          <w:lang w:val="en-ID"/>
        </w:rPr>
        <w:tab/>
      </w:r>
      <w:r w:rsidR="00172F00" w:rsidRPr="00BF475B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176CC3">
        <w:rPr>
          <w:rFonts w:ascii="Times New Roman" w:hAnsi="Times New Roman"/>
          <w:b/>
          <w:sz w:val="24"/>
          <w:szCs w:val="24"/>
          <w:lang w:val="id-ID"/>
        </w:rPr>
        <w:t>..................................</w:t>
      </w:r>
    </w:p>
    <w:p w:rsidR="00E878C1" w:rsidRPr="00BF475B" w:rsidRDefault="00E878C1" w:rsidP="00E878C1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F</w:t>
      </w:r>
      <w:r w:rsidRPr="00BF475B">
        <w:rPr>
          <w:rFonts w:ascii="Times New Roman" w:hAnsi="Times New Roman"/>
          <w:b/>
          <w:sz w:val="24"/>
          <w:szCs w:val="24"/>
          <w:lang w:val="it-CH"/>
        </w:rPr>
        <w:t xml:space="preserve"> Kelas</w:t>
      </w:r>
      <w:r w:rsidRPr="00BF475B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176CC3">
        <w:rPr>
          <w:rFonts w:ascii="Times New Roman" w:hAnsi="Times New Roman"/>
          <w:b/>
          <w:sz w:val="24"/>
          <w:szCs w:val="24"/>
          <w:lang w:val="id-ID"/>
        </w:rPr>
        <w:t>XII (Dua Belas)</w:t>
      </w:r>
      <w:r w:rsidRPr="00BF475B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172F00" w:rsidRPr="00BF475B" w:rsidRDefault="00172F00" w:rsidP="00BF475B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BF475B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BF475B">
        <w:rPr>
          <w:rFonts w:ascii="Times New Roman" w:hAnsi="Times New Roman"/>
          <w:b/>
          <w:sz w:val="24"/>
          <w:szCs w:val="24"/>
          <w:lang w:val="en-ID"/>
        </w:rPr>
        <w:tab/>
      </w:r>
      <w:r w:rsidRPr="00BF475B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:rsidR="00DB44BD" w:rsidRPr="00BF475B" w:rsidRDefault="00DB44BD" w:rsidP="00BF475B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071B33" w:rsidRPr="00BF475B" w:rsidRDefault="00446B0B" w:rsidP="00BF475B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475B">
        <w:rPr>
          <w:rFonts w:ascii="Times New Roman" w:hAnsi="Times New Roman"/>
          <w:b/>
          <w:bCs/>
          <w:sz w:val="24"/>
          <w:szCs w:val="24"/>
          <w:lang w:val="id-ID"/>
        </w:rPr>
        <w:t xml:space="preserve">A.  </w:t>
      </w:r>
      <w:r w:rsidR="000F2D9C" w:rsidRPr="00BF475B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071B33" w:rsidRPr="00BF475B">
        <w:rPr>
          <w:rFonts w:ascii="Times New Roman" w:hAnsi="Times New Roman"/>
          <w:b/>
          <w:bCs/>
          <w:sz w:val="24"/>
          <w:szCs w:val="24"/>
          <w:lang w:val="id-ID"/>
        </w:rPr>
        <w:t xml:space="preserve">Capaian Pembelajaran </w:t>
      </w:r>
      <w:r w:rsidR="00956660" w:rsidRPr="00BF475B">
        <w:rPr>
          <w:rFonts w:ascii="Times New Roman" w:hAnsi="Times New Roman"/>
          <w:b/>
          <w:bCs/>
          <w:sz w:val="24"/>
          <w:szCs w:val="24"/>
          <w:lang w:val="id-ID"/>
        </w:rPr>
        <w:t xml:space="preserve">Fase </w:t>
      </w:r>
      <w:r w:rsidR="00956660" w:rsidRPr="00BF475B">
        <w:rPr>
          <w:rFonts w:ascii="Times New Roman" w:hAnsi="Times New Roman"/>
          <w:b/>
          <w:bCs/>
          <w:sz w:val="24"/>
          <w:szCs w:val="24"/>
        </w:rPr>
        <w:t>F</w:t>
      </w:r>
    </w:p>
    <w:p w:rsidR="007858B3" w:rsidRPr="007858B3" w:rsidRDefault="007858B3" w:rsidP="007858B3">
      <w:pPr>
        <w:spacing w:before="120" w:after="120"/>
        <w:ind w:left="426" w:right="154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F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mengembangkan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pertanyaan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tentang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karakteristik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aktivitas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tertentu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akibat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perubahan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fisik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sosial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berupa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Posisi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Strategis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Pola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Keanekaragaman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Hayati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Indonesia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Dunia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Kebencanaan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Lingkungan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Hidup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Kewilayahan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Pembangunan,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Kerja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sama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antar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Wilayah,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mengolah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informasi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karakteristik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menganalisis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aktivitas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tertentu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akibat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perubahan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fisik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sosial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berdasarkan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terencana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memanfatkan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penggunaan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kegiatan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penelitian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 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memprediksi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perubahan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kondisi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alam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sosial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memaparkan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hasil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penelitian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projek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tentang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berupa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keunggulan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posisi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strategis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sumber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daya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alam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ataupun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kebencanaan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di Indonesia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memanfaatkan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(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tabel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data,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lain-lain) 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pemanfaatan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teknologi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SIG,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memprediksi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ide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solusi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perkembangan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posisi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strategis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sumber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daya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kebencanaan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di Indonesia.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menganalisa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perkembangan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desa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proofErr w:type="gramStart"/>
      <w:r w:rsidRPr="007858B3">
        <w:rPr>
          <w:rFonts w:ascii="Times New Roman" w:eastAsia="Bookman Old Style" w:hAnsi="Times New Roman"/>
          <w:sz w:val="24"/>
          <w:szCs w:val="24"/>
        </w:rPr>
        <w:t>kota</w:t>
      </w:r>
      <w:proofErr w:type="spellEnd"/>
      <w:proofErr w:type="gram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konteks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perkembangan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kerja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sama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antar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bentuk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projek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terencana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menganalisa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data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spasial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numerik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diperoleh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dari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berbagai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metode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tentang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pengaruh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pengembangan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Indonesia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kerja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sama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negara-negara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sekitar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dunia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mengevaluasi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fakta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kerja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proofErr w:type="gramStart"/>
      <w:r w:rsidRPr="007858B3">
        <w:rPr>
          <w:rFonts w:ascii="Times New Roman" w:eastAsia="Bookman Old Style" w:hAnsi="Times New Roman"/>
          <w:sz w:val="24"/>
          <w:szCs w:val="24"/>
        </w:rPr>
        <w:t>sama</w:t>
      </w:r>
      <w:proofErr w:type="spellEnd"/>
      <w:proofErr w:type="gram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antar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wilayah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menyajikannya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sebuah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laporan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7858B3">
        <w:rPr>
          <w:rFonts w:ascii="Times New Roman" w:eastAsia="Bookman Old Style" w:hAnsi="Times New Roman"/>
          <w:sz w:val="24"/>
          <w:szCs w:val="24"/>
        </w:rPr>
        <w:t>.</w:t>
      </w:r>
    </w:p>
    <w:p w:rsidR="007858B3" w:rsidRDefault="007858B3" w:rsidP="007858B3">
      <w:pPr>
        <w:spacing w:before="120" w:after="120" w:line="240" w:lineRule="auto"/>
        <w:jc w:val="both"/>
        <w:rPr>
          <w:rFonts w:ascii="Times New Roman" w:eastAsia="Bookman Old Style" w:hAnsi="Times New Roman"/>
          <w:b/>
          <w:bCs/>
          <w:sz w:val="24"/>
          <w:szCs w:val="24"/>
        </w:rPr>
      </w:pPr>
    </w:p>
    <w:p w:rsidR="007858B3" w:rsidRPr="007858B3" w:rsidRDefault="007858B3" w:rsidP="007858B3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B.  </w:t>
      </w:r>
      <w:proofErr w:type="spellStart"/>
      <w:r w:rsidRPr="007858B3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7858B3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r w:rsidRPr="007858B3">
        <w:rPr>
          <w:rFonts w:ascii="Times New Roman" w:hAnsi="Times New Roman"/>
          <w:b/>
          <w:bCs/>
          <w:sz w:val="24"/>
          <w:szCs w:val="24"/>
          <w:lang w:val="id-ID"/>
        </w:rPr>
        <w:t>Berdasarkan</w:t>
      </w:r>
      <w:r w:rsidRPr="007858B3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7858B3">
        <w:rPr>
          <w:rFonts w:ascii="Times New Roman" w:eastAsia="Bookman Old Style" w:hAnsi="Times New Roman"/>
          <w:b/>
          <w:bCs/>
          <w:sz w:val="24"/>
          <w:szCs w:val="24"/>
        </w:rPr>
        <w:t>Elemen</w:t>
      </w:r>
      <w:proofErr w:type="spellEnd"/>
    </w:p>
    <w:tbl>
      <w:tblPr>
        <w:tblStyle w:val="GridTable4-Accent51"/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7858B3" w:rsidRPr="007858B3" w:rsidTr="00D51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858B3" w:rsidRPr="007858B3" w:rsidRDefault="007858B3" w:rsidP="007858B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58B3">
              <w:rPr>
                <w:rFonts w:ascii="Times New Roman" w:hAnsi="Times New Roman"/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858B3" w:rsidRPr="007858B3" w:rsidRDefault="007858B3" w:rsidP="007858B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858B3">
              <w:rPr>
                <w:rFonts w:ascii="Times New Roman" w:hAnsi="Times New Roman"/>
                <w:color w:val="auto"/>
                <w:sz w:val="24"/>
                <w:szCs w:val="24"/>
              </w:rPr>
              <w:t>Capaian</w:t>
            </w:r>
            <w:proofErr w:type="spellEnd"/>
            <w:r w:rsidRPr="007858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/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7858B3" w:rsidRPr="007858B3" w:rsidTr="00D51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:rsidR="007858B3" w:rsidRPr="007858B3" w:rsidRDefault="007858B3" w:rsidP="007858B3">
            <w:pPr>
              <w:spacing w:before="120" w:after="120" w:line="240" w:lineRule="auto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ascii="Times New Roman" w:hAnsi="Times New Roman"/>
                <w:b w:val="0"/>
                <w:sz w:val="24"/>
                <w:szCs w:val="24"/>
              </w:rPr>
              <w:t>Pemahaman</w:t>
            </w:r>
            <w:proofErr w:type="spellEnd"/>
            <w:r w:rsidRPr="007858B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/>
                <w:b w:val="0"/>
                <w:sz w:val="24"/>
                <w:szCs w:val="24"/>
              </w:rPr>
              <w:t>Konsep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shd w:val="clear" w:color="auto" w:fill="auto"/>
          </w:tcPr>
          <w:p w:rsidR="007858B3" w:rsidRPr="007858B3" w:rsidRDefault="007858B3" w:rsidP="007858B3">
            <w:pPr>
              <w:spacing w:before="120" w:after="120" w:line="240" w:lineRule="auto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terampil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dalam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membaca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Wilayah.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menyampaikan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mengomunikasikan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ide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mereka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bekerja</w:t>
            </w:r>
            <w:proofErr w:type="spellEnd"/>
            <w:proofErr w:type="gram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kelompok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 pun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mandiri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dengan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bantu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hasil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produk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sendiri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berupa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peta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pembelajaran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  <w:tr w:rsidR="007858B3" w:rsidRPr="007858B3" w:rsidTr="00D518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</w:tcBorders>
            <w:shd w:val="clear" w:color="auto" w:fill="auto"/>
          </w:tcPr>
          <w:p w:rsidR="007858B3" w:rsidRPr="007858B3" w:rsidRDefault="007858B3" w:rsidP="007858B3">
            <w:pPr>
              <w:spacing w:before="120" w:after="120" w:line="240" w:lineRule="auto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ascii="Times New Roman" w:hAnsi="Times New Roman"/>
                <w:b w:val="0"/>
                <w:sz w:val="24"/>
                <w:szCs w:val="24"/>
              </w:rPr>
              <w:t>Keterampilan</w:t>
            </w:r>
            <w:proofErr w:type="spellEnd"/>
            <w:r w:rsidRPr="007858B3">
              <w:rPr>
                <w:rFonts w:ascii="Times New Roman" w:hAnsi="Times New Roman"/>
                <w:b w:val="0"/>
                <w:sz w:val="24"/>
                <w:szCs w:val="24"/>
              </w:rPr>
              <w:t xml:space="preserve"> Proses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top w:val="none" w:sz="0" w:space="0" w:color="auto"/>
            </w:tcBorders>
            <w:shd w:val="clear" w:color="auto" w:fill="auto"/>
          </w:tcPr>
          <w:p w:rsidR="007858B3" w:rsidRPr="007858B3" w:rsidRDefault="007858B3" w:rsidP="007858B3">
            <w:pPr>
              <w:spacing w:before="120" w:after="120" w:line="240" w:lineRule="auto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lastRenderedPageBreak/>
              <w:t>memahami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mengolah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keruangan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Wilayah,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memaparkan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ide,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memublikasikannya</w:t>
            </w:r>
            <w:proofErr w:type="spellEnd"/>
            <w:r w:rsidRPr="007858B3">
              <w:rPr>
                <w:rFonts w:ascii="Times New Roman" w:hAnsi="Times New Roman" w:cstheme="minorBidi"/>
                <w:b w:val="0"/>
                <w:sz w:val="24"/>
                <w:szCs w:val="24"/>
              </w:rPr>
              <w:t>.</w:t>
            </w:r>
          </w:p>
        </w:tc>
      </w:tr>
    </w:tbl>
    <w:p w:rsidR="007858B3" w:rsidRPr="007858B3" w:rsidRDefault="007858B3" w:rsidP="007858B3">
      <w:pPr>
        <w:spacing w:before="120" w:after="120"/>
        <w:ind w:left="640" w:right="232" w:hanging="341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935743" w:rsidRPr="00BF475B" w:rsidRDefault="007858B3" w:rsidP="00BF475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E648B2">
        <w:rPr>
          <w:rFonts w:ascii="Times New Roman" w:hAnsi="Times New Roman"/>
          <w:b/>
          <w:bCs/>
          <w:sz w:val="24"/>
          <w:szCs w:val="24"/>
          <w:lang w:val="id-ID"/>
        </w:rPr>
        <w:t xml:space="preserve">.  </w:t>
      </w:r>
      <w:r w:rsidR="00BF475B" w:rsidRPr="00BF475B">
        <w:rPr>
          <w:rFonts w:ascii="Times New Roman" w:hAnsi="Times New Roman"/>
          <w:b/>
          <w:bCs/>
          <w:sz w:val="24"/>
          <w:szCs w:val="24"/>
          <w:lang w:val="en-ID"/>
        </w:rPr>
        <w:t xml:space="preserve">Program </w:t>
      </w:r>
      <w:proofErr w:type="spellStart"/>
      <w:r w:rsidR="00BF475B" w:rsidRPr="00BF475B">
        <w:rPr>
          <w:rFonts w:ascii="Times New Roman" w:hAnsi="Times New Roman"/>
          <w:b/>
          <w:bCs/>
          <w:sz w:val="24"/>
          <w:szCs w:val="24"/>
          <w:lang w:val="en-ID"/>
        </w:rPr>
        <w:t>Tahunan</w:t>
      </w:r>
      <w:proofErr w:type="spellEnd"/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970"/>
        <w:gridCol w:w="1941"/>
        <w:gridCol w:w="991"/>
        <w:gridCol w:w="1325"/>
      </w:tblGrid>
      <w:tr w:rsidR="00A45359" w:rsidRPr="00BF475B" w:rsidTr="00D51856">
        <w:trPr>
          <w:trHeight w:val="508"/>
          <w:tblHeader/>
        </w:trPr>
        <w:tc>
          <w:tcPr>
            <w:tcW w:w="466" w:type="pct"/>
            <w:shd w:val="clear" w:color="auto" w:fill="auto"/>
            <w:vAlign w:val="center"/>
          </w:tcPr>
          <w:p w:rsidR="00A45359" w:rsidRPr="00EC3ED0" w:rsidRDefault="00EC3ED0" w:rsidP="00BF475B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ATP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A45359" w:rsidRPr="00BF475B" w:rsidRDefault="00A45359" w:rsidP="00BF475B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F475B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Tujuan Pembelajaran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915333" w:rsidRPr="00915333" w:rsidRDefault="00915333" w:rsidP="00915333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1533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Pokok Materi</w:t>
            </w:r>
          </w:p>
          <w:p w:rsidR="00A45359" w:rsidRPr="00BF475B" w:rsidRDefault="00915333" w:rsidP="00915333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1533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Pembelajaran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45359" w:rsidRPr="00BF475B" w:rsidRDefault="00A45359" w:rsidP="00BF475B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A45359" w:rsidRPr="00BF475B" w:rsidRDefault="00A45359" w:rsidP="00A4535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4535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947E77" w:rsidRPr="00BF475B" w:rsidTr="00D51856">
        <w:trPr>
          <w:trHeight w:val="35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47E77" w:rsidRDefault="00947E77" w:rsidP="0085528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1 :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Wilayah, Tata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Kebahagiaan</w:t>
            </w:r>
            <w:proofErr w:type="spellEnd"/>
          </w:p>
        </w:tc>
      </w:tr>
      <w:tr w:rsidR="00590E78" w:rsidRPr="00BF475B" w:rsidTr="00D51856">
        <w:trPr>
          <w:trHeight w:val="350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590E78" w:rsidRPr="00045E65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45E6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C8481E" w:rsidRPr="00C8481E" w:rsidRDefault="00C8481E" w:rsidP="00C8481E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12.1.1 </w:t>
            </w:r>
            <w:r w:rsid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proofErr w:type="gram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tata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90E78" w:rsidRPr="0032627E" w:rsidRDefault="00C8481E" w:rsidP="00C8481E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12.1.2 </w:t>
            </w:r>
            <w:r w:rsid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proofErr w:type="gram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teori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paradigm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tata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C8481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590E78" w:rsidRPr="00787E35" w:rsidRDefault="00C8481E" w:rsidP="00590E78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8481E">
              <w:rPr>
                <w:rFonts w:ascii="Times New Roman" w:hAnsi="Times New Roman"/>
                <w:sz w:val="24"/>
                <w:szCs w:val="24"/>
                <w:lang w:val="id-ID"/>
              </w:rPr>
              <w:t>Pengembangan Wilayah</w:t>
            </w:r>
          </w:p>
        </w:tc>
        <w:tc>
          <w:tcPr>
            <w:tcW w:w="546" w:type="pct"/>
            <w:shd w:val="clear" w:color="auto" w:fill="auto"/>
          </w:tcPr>
          <w:p w:rsidR="00590E78" w:rsidRPr="00BF475B" w:rsidRDefault="00C8481E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8481E">
              <w:rPr>
                <w:rFonts w:ascii="Times New Roman" w:hAnsi="Times New Roman"/>
                <w:sz w:val="24"/>
                <w:szCs w:val="24"/>
              </w:rPr>
              <w:t>15 JP</w:t>
            </w:r>
          </w:p>
        </w:tc>
        <w:tc>
          <w:tcPr>
            <w:tcW w:w="730" w:type="pct"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0E78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8207A7" w:rsidRPr="008207A7" w:rsidRDefault="008207A7" w:rsidP="008207A7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12.1.3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proofErr w:type="gram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karakteristik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tahapan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perkembangan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indeks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kebahagiaan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sebarannya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207A7" w:rsidRPr="008207A7" w:rsidRDefault="008207A7" w:rsidP="008207A7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12.1.4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proofErr w:type="gram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potensi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permasalahan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pengembangannya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90E78" w:rsidRPr="0032627E" w:rsidRDefault="008207A7" w:rsidP="008207A7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12.1.5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proofErr w:type="gram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pengaruh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interaksi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Pr="00D84A89">
                <w:rPr>
                  <w:rStyle w:val="Hyperlink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desa</w:t>
              </w:r>
              <w:proofErr w:type="spellEnd"/>
            </w:hyperlink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permasalahannya</w:t>
            </w:r>
            <w:proofErr w:type="spellEnd"/>
            <w:r w:rsidRPr="008207A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590E78" w:rsidRPr="00787E35" w:rsidRDefault="008207A7" w:rsidP="00590E78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207A7">
              <w:rPr>
                <w:rFonts w:ascii="Times New Roman" w:hAnsi="Times New Roman"/>
                <w:sz w:val="24"/>
                <w:szCs w:val="24"/>
                <w:lang w:val="id-ID"/>
              </w:rPr>
              <w:t>Pengembangan Desa dan Kota</w:t>
            </w:r>
          </w:p>
        </w:tc>
        <w:tc>
          <w:tcPr>
            <w:tcW w:w="546" w:type="pct"/>
            <w:shd w:val="clear" w:color="auto" w:fill="auto"/>
          </w:tcPr>
          <w:p w:rsidR="00590E78" w:rsidRPr="00BF475B" w:rsidRDefault="00C8481E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90E78"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0E78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35585D" w:rsidRPr="0035585D" w:rsidRDefault="0035585D" w:rsidP="0035585D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12.1.6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Menerapkan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</w:p>
          <w:p w:rsidR="00590E78" w:rsidRPr="0032627E" w:rsidRDefault="0035585D" w:rsidP="0035585D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12.1.7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proofErr w:type="gram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perkembangan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tata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fisik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sosial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ekonomi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590E78" w:rsidRPr="00787E35" w:rsidRDefault="0035585D" w:rsidP="00590E78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t>Tata Ruang dan Dinamikanya dalam</w:t>
            </w:r>
          </w:p>
        </w:tc>
        <w:tc>
          <w:tcPr>
            <w:tcW w:w="546" w:type="pct"/>
            <w:shd w:val="clear" w:color="auto" w:fill="auto"/>
          </w:tcPr>
          <w:p w:rsidR="00590E78" w:rsidRPr="00BF475B" w:rsidRDefault="00C8481E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90E78"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0E78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590E78" w:rsidRPr="0032627E" w:rsidRDefault="0035585D" w:rsidP="00C8481E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12.1.8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Mengevaluasi</w:t>
            </w:r>
            <w:proofErr w:type="spellEnd"/>
            <w:proofErr w:type="gram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implementasi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kebijakan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590E78" w:rsidRPr="00787E35" w:rsidRDefault="0035585D" w:rsidP="00590E78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Indeks Kebahagiaan sebagai Hasil Pembangunan </w:t>
            </w: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Wilayah</w:t>
            </w:r>
          </w:p>
        </w:tc>
        <w:tc>
          <w:tcPr>
            <w:tcW w:w="546" w:type="pct"/>
            <w:shd w:val="clear" w:color="auto" w:fill="auto"/>
          </w:tcPr>
          <w:p w:rsidR="00590E78" w:rsidRPr="00BF475B" w:rsidRDefault="00C8481E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590E78"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0E78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590E78" w:rsidRPr="0032627E" w:rsidRDefault="0035585D" w:rsidP="00C8481E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12.1.9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Merancang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pengembangan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desa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kota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peningkatan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kualitas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kebahagiaan</w:t>
            </w:r>
            <w:proofErr w:type="spellEnd"/>
            <w:r w:rsidRPr="0035585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590E78" w:rsidRPr="00787E35" w:rsidRDefault="0035585D" w:rsidP="00590E78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t>Pengaruh Pengembangan WIlayah dan Tata Ruang terhadap Kebahagiaan Penduduk</w:t>
            </w:r>
          </w:p>
        </w:tc>
        <w:tc>
          <w:tcPr>
            <w:tcW w:w="546" w:type="pct"/>
            <w:shd w:val="clear" w:color="auto" w:fill="auto"/>
          </w:tcPr>
          <w:p w:rsidR="00590E78" w:rsidRPr="00BF475B" w:rsidRDefault="00C8481E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90E78"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590E78" w:rsidRDefault="00590E78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7E77" w:rsidRPr="00BF475B" w:rsidTr="00D51856">
        <w:trPr>
          <w:trHeight w:val="350"/>
        </w:trPr>
        <w:tc>
          <w:tcPr>
            <w:tcW w:w="5000" w:type="pct"/>
            <w:gridSpan w:val="5"/>
            <w:shd w:val="clear" w:color="auto" w:fill="auto"/>
          </w:tcPr>
          <w:p w:rsidR="00947E77" w:rsidRDefault="00947E77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2 : Pembangunan Wilayah,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Revolusi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Industri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Muka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Bumi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Kesejahteraan</w:t>
            </w:r>
            <w:proofErr w:type="spellEnd"/>
          </w:p>
        </w:tc>
      </w:tr>
      <w:tr w:rsidR="0035585D" w:rsidRPr="00BF475B" w:rsidTr="00D51856">
        <w:trPr>
          <w:trHeight w:val="350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35585D" w:rsidRPr="00045E65" w:rsidRDefault="0035585D" w:rsidP="0035585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45E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384E70" w:rsidRPr="00384E70" w:rsidRDefault="00384E70" w:rsidP="00384E70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12.2.1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384E70" w:rsidRPr="00384E70" w:rsidRDefault="00384E70" w:rsidP="00384E70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12.2.2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Menerapkan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384E70" w:rsidRPr="00384E70" w:rsidRDefault="00384E70" w:rsidP="00384E70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12.2.3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masalah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dampak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5585D" w:rsidRPr="008420C1" w:rsidRDefault="00384E70" w:rsidP="00384E70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12.2.4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Menelaah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perubahan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ruang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permukaan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bumi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dampak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interaksi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bencana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35585D" w:rsidRPr="008420C1" w:rsidRDefault="006E2909" w:rsidP="00947E77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Teori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Paradigma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Indikator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 Pembangunan</w:t>
            </w:r>
          </w:p>
        </w:tc>
        <w:tc>
          <w:tcPr>
            <w:tcW w:w="546" w:type="pct"/>
            <w:shd w:val="clear" w:color="auto" w:fill="auto"/>
          </w:tcPr>
          <w:p w:rsidR="0035585D" w:rsidRPr="00BF475B" w:rsidRDefault="0035585D" w:rsidP="00947E7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35585D" w:rsidRDefault="0035585D" w:rsidP="00947E7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5585D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35585D" w:rsidRDefault="0035585D" w:rsidP="0035585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35585D" w:rsidRPr="008420C1" w:rsidRDefault="00384E70" w:rsidP="0035585D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12.2.5 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proofErr w:type="gram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perubahan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perilaku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keruangan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pada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era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Revolusi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Industri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4.0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Masyarakat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5.0.</w:t>
            </w:r>
          </w:p>
        </w:tc>
        <w:tc>
          <w:tcPr>
            <w:tcW w:w="1070" w:type="pct"/>
            <w:shd w:val="clear" w:color="auto" w:fill="auto"/>
          </w:tcPr>
          <w:p w:rsidR="0035585D" w:rsidRPr="00384E70" w:rsidRDefault="006E2909" w:rsidP="0035585D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Revolusi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Industri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4.0 </w:t>
            </w: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dan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Masyarakat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5.0</w:t>
            </w:r>
          </w:p>
        </w:tc>
        <w:tc>
          <w:tcPr>
            <w:tcW w:w="546" w:type="pct"/>
            <w:shd w:val="clear" w:color="auto" w:fill="auto"/>
          </w:tcPr>
          <w:p w:rsidR="0035585D" w:rsidRPr="00BF475B" w:rsidRDefault="006E2909" w:rsidP="0035585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585D"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35585D" w:rsidRDefault="0035585D" w:rsidP="0035585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1208E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01208E" w:rsidRDefault="0001208E" w:rsidP="0035585D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01208E" w:rsidRPr="008420C1" w:rsidRDefault="0001208E" w:rsidP="0035585D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12.2.6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Mengevaluasi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implementasi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kewilayahan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1208E" w:rsidRPr="008420C1" w:rsidRDefault="0001208E" w:rsidP="00384E70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12.2.7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Merancang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1070" w:type="pct"/>
            <w:shd w:val="clear" w:color="auto" w:fill="auto"/>
          </w:tcPr>
          <w:p w:rsidR="0001208E" w:rsidRDefault="0001208E" w:rsidP="0035585D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Kesejahteraan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penduduk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</w:p>
          <w:p w:rsidR="0001208E" w:rsidRPr="008420C1" w:rsidRDefault="0001208E" w:rsidP="0035585D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:rsidR="0001208E" w:rsidRPr="00BF475B" w:rsidRDefault="0001208E" w:rsidP="0035585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  <w:p w:rsidR="0001208E" w:rsidRPr="00BF475B" w:rsidRDefault="0001208E" w:rsidP="0035585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30" w:type="pct"/>
            <w:shd w:val="clear" w:color="auto" w:fill="auto"/>
          </w:tcPr>
          <w:p w:rsidR="0001208E" w:rsidRDefault="0001208E" w:rsidP="0035585D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Ganjil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7E77" w:rsidRPr="00BF475B" w:rsidTr="00D51856">
        <w:trPr>
          <w:trHeight w:val="350"/>
        </w:trPr>
        <w:tc>
          <w:tcPr>
            <w:tcW w:w="5000" w:type="pct"/>
            <w:gridSpan w:val="5"/>
            <w:shd w:val="clear" w:color="auto" w:fill="auto"/>
          </w:tcPr>
          <w:p w:rsidR="00947E77" w:rsidRDefault="00947E77" w:rsidP="00947E77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Bab 3 :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Dinamika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Sama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Antarnegara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Ketahanan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Wilayah Indonesia</w:t>
            </w:r>
          </w:p>
        </w:tc>
      </w:tr>
      <w:tr w:rsidR="00D833A1" w:rsidRPr="00BF475B" w:rsidTr="00D51856">
        <w:trPr>
          <w:trHeight w:val="350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D833A1" w:rsidRPr="00045E65" w:rsidRDefault="00D833A1" w:rsidP="00D833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045E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D833A1" w:rsidRPr="00D833A1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12.3.1.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D833A1" w:rsidRPr="00D833A1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12.3.2.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teori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paradigma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833A1" w:rsidRPr="00D833A1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12.3.3.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karakteristik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potensi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permasalahan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D833A1" w:rsidRPr="0068076E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12.3.4.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bentuk-bentuk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regional.</w:t>
            </w:r>
          </w:p>
        </w:tc>
        <w:tc>
          <w:tcPr>
            <w:tcW w:w="1070" w:type="pct"/>
            <w:shd w:val="clear" w:color="auto" w:fill="auto"/>
          </w:tcPr>
          <w:p w:rsidR="00D833A1" w:rsidRPr="0068076E" w:rsidRDefault="00D833A1" w:rsidP="00590E78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D833A1" w:rsidRPr="009258F2" w:rsidRDefault="00D833A1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JP</w:t>
            </w:r>
          </w:p>
        </w:tc>
        <w:tc>
          <w:tcPr>
            <w:tcW w:w="730" w:type="pct"/>
            <w:shd w:val="clear" w:color="auto" w:fill="auto"/>
          </w:tcPr>
          <w:p w:rsidR="00D833A1" w:rsidRDefault="00D833A1" w:rsidP="00590E7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833A1" w:rsidRPr="00BF475B" w:rsidTr="00D51856">
        <w:trPr>
          <w:trHeight w:val="350"/>
        </w:trPr>
        <w:tc>
          <w:tcPr>
            <w:tcW w:w="466" w:type="pct"/>
            <w:vMerge/>
            <w:shd w:val="clear" w:color="auto" w:fill="auto"/>
          </w:tcPr>
          <w:p w:rsidR="00D833A1" w:rsidRDefault="00D833A1" w:rsidP="00D833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pct"/>
            <w:tcBorders>
              <w:right w:val="single" w:sz="4" w:space="0" w:color="auto"/>
            </w:tcBorders>
            <w:shd w:val="clear" w:color="auto" w:fill="auto"/>
          </w:tcPr>
          <w:p w:rsidR="00D833A1" w:rsidRPr="00D833A1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12.3.5.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Menerapkan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negara-negara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833A1" w:rsidRPr="00D833A1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12.3.6.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Indonesia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negara-negara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NKRI.</w:t>
            </w:r>
          </w:p>
          <w:p w:rsidR="00D833A1" w:rsidRPr="0068076E" w:rsidRDefault="00D833A1" w:rsidP="00D833A1">
            <w:pPr>
              <w:spacing w:before="120" w:after="120"/>
              <w:ind w:left="742" w:hanging="74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12.3.7.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Merancang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bentuk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bilateral, multilateral,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regional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wilayah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NKRI.</w:t>
            </w:r>
          </w:p>
        </w:tc>
        <w:tc>
          <w:tcPr>
            <w:tcW w:w="1070" w:type="pct"/>
            <w:shd w:val="clear" w:color="auto" w:fill="auto"/>
          </w:tcPr>
          <w:p w:rsidR="00D833A1" w:rsidRPr="0068076E" w:rsidRDefault="00D833A1" w:rsidP="00D833A1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Pengaruh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Wilayah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Pilar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:rsidR="00D833A1" w:rsidRPr="009258F2" w:rsidRDefault="00D833A1" w:rsidP="00D833A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JP</w:t>
            </w:r>
          </w:p>
        </w:tc>
        <w:tc>
          <w:tcPr>
            <w:tcW w:w="730" w:type="pct"/>
            <w:shd w:val="clear" w:color="auto" w:fill="auto"/>
          </w:tcPr>
          <w:p w:rsidR="00D833A1" w:rsidRDefault="00D833A1" w:rsidP="00D833A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90E78" w:rsidRPr="00BF475B" w:rsidTr="00D51856">
        <w:trPr>
          <w:trHeight w:val="193"/>
        </w:trPr>
        <w:tc>
          <w:tcPr>
            <w:tcW w:w="3724" w:type="pct"/>
            <w:gridSpan w:val="3"/>
            <w:shd w:val="clear" w:color="auto" w:fill="auto"/>
          </w:tcPr>
          <w:p w:rsidR="00590E78" w:rsidRPr="00BF475B" w:rsidRDefault="00590E78" w:rsidP="00590E78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</w:pPr>
            <w:r w:rsidRPr="00BF475B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Jumlah Jam Pelajaran </w:t>
            </w:r>
          </w:p>
        </w:tc>
        <w:tc>
          <w:tcPr>
            <w:tcW w:w="546" w:type="pct"/>
            <w:shd w:val="clear" w:color="auto" w:fill="auto"/>
          </w:tcPr>
          <w:p w:rsidR="00590E78" w:rsidRPr="00BF475B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  <w:r w:rsidRPr="00BF475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730" w:type="pct"/>
            <w:shd w:val="clear" w:color="auto" w:fill="auto"/>
          </w:tcPr>
          <w:p w:rsidR="00590E78" w:rsidRPr="00BF475B" w:rsidRDefault="00590E78" w:rsidP="00590E7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</w:tbl>
    <w:p w:rsidR="00BD527C" w:rsidRPr="00BF475B" w:rsidRDefault="00BD527C" w:rsidP="00D51856">
      <w:pPr>
        <w:tabs>
          <w:tab w:val="left" w:pos="1915"/>
        </w:tabs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9070" w:type="dxa"/>
        <w:tblLook w:val="00A0" w:firstRow="1" w:lastRow="0" w:firstColumn="1" w:lastColumn="0" w:noHBand="0" w:noVBand="0"/>
      </w:tblPr>
      <w:tblGrid>
        <w:gridCol w:w="4535"/>
        <w:gridCol w:w="4535"/>
      </w:tblGrid>
      <w:tr w:rsidR="00D51856" w:rsidTr="00D51856">
        <w:tc>
          <w:tcPr>
            <w:tcW w:w="4535" w:type="dxa"/>
          </w:tcPr>
          <w:p w:rsidR="00D51856" w:rsidRDefault="00D51856">
            <w:pPr>
              <w:spacing w:after="0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</w:p>
          <w:p w:rsidR="00D51856" w:rsidRDefault="00D51856">
            <w:pPr>
              <w:spacing w:after="0"/>
              <w:jc w:val="center"/>
              <w:rPr>
                <w:rFonts w:asciiTheme="majorBidi" w:eastAsiaTheme="minorHAns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Kepala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Sekolah</w:t>
            </w:r>
            <w:proofErr w:type="spellEnd"/>
            <w:r>
              <w:rPr>
                <w:rFonts w:asciiTheme="majorBidi" w:hAnsiTheme="majorBidi" w:cstheme="majorBidi"/>
              </w:rPr>
              <w:t xml:space="preserve"> .......................</w:t>
            </w:r>
            <w:proofErr w:type="gramEnd"/>
          </w:p>
          <w:p w:rsidR="00D51856" w:rsidRDefault="00D51856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................................................</w:t>
            </w:r>
          </w:p>
          <w:p w:rsidR="00D51856" w:rsidRDefault="00D51856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  <w:tc>
          <w:tcPr>
            <w:tcW w:w="4535" w:type="dxa"/>
          </w:tcPr>
          <w:p w:rsidR="00D51856" w:rsidRDefault="00D51856">
            <w:pPr>
              <w:spacing w:after="0"/>
              <w:ind w:left="41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</w:rPr>
              <w:t>…….., ………………….</w:t>
            </w:r>
            <w:proofErr w:type="gramEnd"/>
            <w:r>
              <w:rPr>
                <w:rFonts w:asciiTheme="majorBidi" w:hAnsiTheme="majorBidi" w:cstheme="majorBidi"/>
              </w:rPr>
              <w:t xml:space="preserve"> 20..</w:t>
            </w:r>
          </w:p>
          <w:p w:rsidR="00D51856" w:rsidRDefault="00D51856">
            <w:pPr>
              <w:spacing w:after="0"/>
              <w:ind w:left="41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</w:rPr>
              <w:t>Pelajaran</w:t>
            </w:r>
            <w:proofErr w:type="spellEnd"/>
          </w:p>
          <w:p w:rsidR="00D51856" w:rsidRDefault="00D51856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D51856" w:rsidRDefault="00D518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</w:t>
            </w:r>
          </w:p>
          <w:p w:rsidR="00D51856" w:rsidRDefault="00D51856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</w:tr>
    </w:tbl>
    <w:p w:rsidR="00C37A8D" w:rsidRPr="00BF475B" w:rsidRDefault="00C37A8D" w:rsidP="00D51856">
      <w:pPr>
        <w:tabs>
          <w:tab w:val="left" w:pos="1915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37A8D" w:rsidRPr="00BF475B" w:rsidSect="00446B0B">
      <w:footerReference w:type="default" r:id="rId11"/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24" w:rsidRDefault="00877624">
      <w:pPr>
        <w:spacing w:after="0" w:line="240" w:lineRule="auto"/>
      </w:pPr>
      <w:r>
        <w:separator/>
      </w:r>
    </w:p>
  </w:endnote>
  <w:endnote w:type="continuationSeparator" w:id="0">
    <w:p w:rsidR="00877624" w:rsidRDefault="0087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60" w:rsidRPr="00956660" w:rsidRDefault="00956660" w:rsidP="00956660">
    <w:pPr>
      <w:tabs>
        <w:tab w:val="center" w:pos="4680"/>
        <w:tab w:val="right" w:pos="9360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24" w:rsidRDefault="00877624">
      <w:pPr>
        <w:spacing w:after="0" w:line="240" w:lineRule="auto"/>
      </w:pPr>
      <w:r>
        <w:separator/>
      </w:r>
    </w:p>
  </w:footnote>
  <w:footnote w:type="continuationSeparator" w:id="0">
    <w:p w:rsidR="00877624" w:rsidRDefault="00877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08E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5E65"/>
    <w:rsid w:val="00047F94"/>
    <w:rsid w:val="00050506"/>
    <w:rsid w:val="00051883"/>
    <w:rsid w:val="0005199E"/>
    <w:rsid w:val="00053542"/>
    <w:rsid w:val="0005442C"/>
    <w:rsid w:val="00055F4B"/>
    <w:rsid w:val="000570CA"/>
    <w:rsid w:val="00057EDA"/>
    <w:rsid w:val="000604F0"/>
    <w:rsid w:val="00062FA7"/>
    <w:rsid w:val="00063169"/>
    <w:rsid w:val="00063543"/>
    <w:rsid w:val="00064069"/>
    <w:rsid w:val="00071947"/>
    <w:rsid w:val="00071B33"/>
    <w:rsid w:val="00071D2B"/>
    <w:rsid w:val="00072723"/>
    <w:rsid w:val="000810BD"/>
    <w:rsid w:val="000816A0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B6CEC"/>
    <w:rsid w:val="000C0D16"/>
    <w:rsid w:val="000C5875"/>
    <w:rsid w:val="000C69A8"/>
    <w:rsid w:val="000C7CEA"/>
    <w:rsid w:val="000D364D"/>
    <w:rsid w:val="000D3902"/>
    <w:rsid w:val="000D4922"/>
    <w:rsid w:val="000D76FF"/>
    <w:rsid w:val="000D7D2B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26856"/>
    <w:rsid w:val="00132609"/>
    <w:rsid w:val="001327F1"/>
    <w:rsid w:val="00134562"/>
    <w:rsid w:val="00134EF6"/>
    <w:rsid w:val="0013534E"/>
    <w:rsid w:val="00135D08"/>
    <w:rsid w:val="001364E8"/>
    <w:rsid w:val="00136DCC"/>
    <w:rsid w:val="00137620"/>
    <w:rsid w:val="00140971"/>
    <w:rsid w:val="00140A24"/>
    <w:rsid w:val="0014351D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B2A"/>
    <w:rsid w:val="00172F00"/>
    <w:rsid w:val="00175DC6"/>
    <w:rsid w:val="00176CC3"/>
    <w:rsid w:val="00182899"/>
    <w:rsid w:val="001846DD"/>
    <w:rsid w:val="00185246"/>
    <w:rsid w:val="00191413"/>
    <w:rsid w:val="00193FE2"/>
    <w:rsid w:val="001A11B3"/>
    <w:rsid w:val="001A4A6C"/>
    <w:rsid w:val="001A5048"/>
    <w:rsid w:val="001A5D40"/>
    <w:rsid w:val="001A7D83"/>
    <w:rsid w:val="001B19D9"/>
    <w:rsid w:val="001B231F"/>
    <w:rsid w:val="001B5C6E"/>
    <w:rsid w:val="001B7678"/>
    <w:rsid w:val="001C3A7A"/>
    <w:rsid w:val="001C548F"/>
    <w:rsid w:val="001C7671"/>
    <w:rsid w:val="001D0445"/>
    <w:rsid w:val="001D29D3"/>
    <w:rsid w:val="001D5858"/>
    <w:rsid w:val="001D5D34"/>
    <w:rsid w:val="001D7561"/>
    <w:rsid w:val="001D78A5"/>
    <w:rsid w:val="001E0E10"/>
    <w:rsid w:val="001E29D2"/>
    <w:rsid w:val="001E4853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3790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87AAA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5F04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513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808"/>
    <w:rsid w:val="00307CCC"/>
    <w:rsid w:val="003103C5"/>
    <w:rsid w:val="003104E6"/>
    <w:rsid w:val="00311211"/>
    <w:rsid w:val="00314D03"/>
    <w:rsid w:val="0031506E"/>
    <w:rsid w:val="00315D39"/>
    <w:rsid w:val="00323C85"/>
    <w:rsid w:val="00325541"/>
    <w:rsid w:val="0032627E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5585D"/>
    <w:rsid w:val="00355A2C"/>
    <w:rsid w:val="0036010C"/>
    <w:rsid w:val="00360C77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4E70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770"/>
    <w:rsid w:val="00415EE9"/>
    <w:rsid w:val="004165EB"/>
    <w:rsid w:val="004229BA"/>
    <w:rsid w:val="00424BB2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1FAA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1175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0141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0F68"/>
    <w:rsid w:val="0058309D"/>
    <w:rsid w:val="00586485"/>
    <w:rsid w:val="00590E78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B53ED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1EBD"/>
    <w:rsid w:val="005F3A58"/>
    <w:rsid w:val="005F4465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216F"/>
    <w:rsid w:val="006652B5"/>
    <w:rsid w:val="006657E1"/>
    <w:rsid w:val="00666355"/>
    <w:rsid w:val="00667048"/>
    <w:rsid w:val="00670175"/>
    <w:rsid w:val="006720B8"/>
    <w:rsid w:val="00672911"/>
    <w:rsid w:val="00672BD2"/>
    <w:rsid w:val="00672CFE"/>
    <w:rsid w:val="0067382B"/>
    <w:rsid w:val="00673F46"/>
    <w:rsid w:val="00675CD3"/>
    <w:rsid w:val="006776EA"/>
    <w:rsid w:val="00677DBF"/>
    <w:rsid w:val="00680321"/>
    <w:rsid w:val="0068076E"/>
    <w:rsid w:val="00682768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2909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58B3"/>
    <w:rsid w:val="00786FD5"/>
    <w:rsid w:val="00787E35"/>
    <w:rsid w:val="00790435"/>
    <w:rsid w:val="00790D1C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3FB3"/>
    <w:rsid w:val="007C4FCF"/>
    <w:rsid w:val="007C7AD7"/>
    <w:rsid w:val="007D3703"/>
    <w:rsid w:val="007D78A4"/>
    <w:rsid w:val="007E0D44"/>
    <w:rsid w:val="007E1782"/>
    <w:rsid w:val="007E5630"/>
    <w:rsid w:val="007F140A"/>
    <w:rsid w:val="007F1964"/>
    <w:rsid w:val="007F2F43"/>
    <w:rsid w:val="007F469E"/>
    <w:rsid w:val="007F6C50"/>
    <w:rsid w:val="007F6F56"/>
    <w:rsid w:val="007F79C4"/>
    <w:rsid w:val="0080432C"/>
    <w:rsid w:val="00805094"/>
    <w:rsid w:val="00807C71"/>
    <w:rsid w:val="00807CBF"/>
    <w:rsid w:val="008102F9"/>
    <w:rsid w:val="008110F2"/>
    <w:rsid w:val="00812396"/>
    <w:rsid w:val="0081542E"/>
    <w:rsid w:val="008178BF"/>
    <w:rsid w:val="008207A7"/>
    <w:rsid w:val="00822473"/>
    <w:rsid w:val="008271DF"/>
    <w:rsid w:val="00831954"/>
    <w:rsid w:val="00834314"/>
    <w:rsid w:val="008350E3"/>
    <w:rsid w:val="00841A29"/>
    <w:rsid w:val="008420C1"/>
    <w:rsid w:val="0084257E"/>
    <w:rsid w:val="00844C87"/>
    <w:rsid w:val="008469F7"/>
    <w:rsid w:val="008501FA"/>
    <w:rsid w:val="00855283"/>
    <w:rsid w:val="00857BF8"/>
    <w:rsid w:val="00862B1A"/>
    <w:rsid w:val="00863BA3"/>
    <w:rsid w:val="00864CC3"/>
    <w:rsid w:val="008738D0"/>
    <w:rsid w:val="00873D08"/>
    <w:rsid w:val="00874E2B"/>
    <w:rsid w:val="00876D55"/>
    <w:rsid w:val="00877624"/>
    <w:rsid w:val="00877AD5"/>
    <w:rsid w:val="00886AF7"/>
    <w:rsid w:val="0089046B"/>
    <w:rsid w:val="00893039"/>
    <w:rsid w:val="008941F2"/>
    <w:rsid w:val="0089470E"/>
    <w:rsid w:val="0089475C"/>
    <w:rsid w:val="00895970"/>
    <w:rsid w:val="00895C1F"/>
    <w:rsid w:val="008962AD"/>
    <w:rsid w:val="008A2478"/>
    <w:rsid w:val="008A2587"/>
    <w:rsid w:val="008A2B3F"/>
    <w:rsid w:val="008A30A1"/>
    <w:rsid w:val="008A7455"/>
    <w:rsid w:val="008B1235"/>
    <w:rsid w:val="008B43D7"/>
    <w:rsid w:val="008B726F"/>
    <w:rsid w:val="008C04CF"/>
    <w:rsid w:val="008C0AAF"/>
    <w:rsid w:val="008C3249"/>
    <w:rsid w:val="008C57BB"/>
    <w:rsid w:val="008C6972"/>
    <w:rsid w:val="008C759E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15333"/>
    <w:rsid w:val="00920D2D"/>
    <w:rsid w:val="00922980"/>
    <w:rsid w:val="00923402"/>
    <w:rsid w:val="009258F2"/>
    <w:rsid w:val="0093038D"/>
    <w:rsid w:val="00930CA2"/>
    <w:rsid w:val="00935743"/>
    <w:rsid w:val="00935CD7"/>
    <w:rsid w:val="00936705"/>
    <w:rsid w:val="00936EE5"/>
    <w:rsid w:val="00937A41"/>
    <w:rsid w:val="0094090E"/>
    <w:rsid w:val="009411C5"/>
    <w:rsid w:val="00941292"/>
    <w:rsid w:val="0094145E"/>
    <w:rsid w:val="009436C9"/>
    <w:rsid w:val="00944FC8"/>
    <w:rsid w:val="00947E77"/>
    <w:rsid w:val="009565F5"/>
    <w:rsid w:val="00956660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83728"/>
    <w:rsid w:val="009846A0"/>
    <w:rsid w:val="00991198"/>
    <w:rsid w:val="00993D18"/>
    <w:rsid w:val="00993FFF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2C2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0ED1"/>
    <w:rsid w:val="00A410A5"/>
    <w:rsid w:val="00A43B41"/>
    <w:rsid w:val="00A45359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8F3"/>
    <w:rsid w:val="00A84DCB"/>
    <w:rsid w:val="00A84E1F"/>
    <w:rsid w:val="00A85ADF"/>
    <w:rsid w:val="00A91B20"/>
    <w:rsid w:val="00A93467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C01"/>
    <w:rsid w:val="00AC2EC5"/>
    <w:rsid w:val="00AC4D8C"/>
    <w:rsid w:val="00AD0847"/>
    <w:rsid w:val="00AD1276"/>
    <w:rsid w:val="00AD1E3B"/>
    <w:rsid w:val="00AD785D"/>
    <w:rsid w:val="00AE07E7"/>
    <w:rsid w:val="00AF2309"/>
    <w:rsid w:val="00AF308A"/>
    <w:rsid w:val="00AF5C31"/>
    <w:rsid w:val="00AF67EE"/>
    <w:rsid w:val="00AF7957"/>
    <w:rsid w:val="00B01ACE"/>
    <w:rsid w:val="00B100C1"/>
    <w:rsid w:val="00B102C4"/>
    <w:rsid w:val="00B111E2"/>
    <w:rsid w:val="00B12E75"/>
    <w:rsid w:val="00B132F6"/>
    <w:rsid w:val="00B13A12"/>
    <w:rsid w:val="00B14B24"/>
    <w:rsid w:val="00B14CEA"/>
    <w:rsid w:val="00B14EDF"/>
    <w:rsid w:val="00B20186"/>
    <w:rsid w:val="00B20190"/>
    <w:rsid w:val="00B21DDD"/>
    <w:rsid w:val="00B22CA3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4C7D"/>
    <w:rsid w:val="00B450A1"/>
    <w:rsid w:val="00B45608"/>
    <w:rsid w:val="00B460D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6720A"/>
    <w:rsid w:val="00B72287"/>
    <w:rsid w:val="00B767C0"/>
    <w:rsid w:val="00B76E10"/>
    <w:rsid w:val="00B807FE"/>
    <w:rsid w:val="00B824D8"/>
    <w:rsid w:val="00B85974"/>
    <w:rsid w:val="00B85E5E"/>
    <w:rsid w:val="00B9354E"/>
    <w:rsid w:val="00B9591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475B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1C99"/>
    <w:rsid w:val="00C634BA"/>
    <w:rsid w:val="00C64D09"/>
    <w:rsid w:val="00C65E36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8481E"/>
    <w:rsid w:val="00C949B6"/>
    <w:rsid w:val="00C957E3"/>
    <w:rsid w:val="00CA2C66"/>
    <w:rsid w:val="00CA3DF3"/>
    <w:rsid w:val="00CA3F11"/>
    <w:rsid w:val="00CA466E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2216"/>
    <w:rsid w:val="00D50D65"/>
    <w:rsid w:val="00D51856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33A1"/>
    <w:rsid w:val="00D84A89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E703B"/>
    <w:rsid w:val="00DF32D1"/>
    <w:rsid w:val="00DF74AA"/>
    <w:rsid w:val="00E00C18"/>
    <w:rsid w:val="00E03E04"/>
    <w:rsid w:val="00E05B5F"/>
    <w:rsid w:val="00E10D4F"/>
    <w:rsid w:val="00E1228D"/>
    <w:rsid w:val="00E12B99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8B2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50CA"/>
    <w:rsid w:val="00E878C1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3ED0"/>
    <w:rsid w:val="00EC40E2"/>
    <w:rsid w:val="00EC6459"/>
    <w:rsid w:val="00EC65B1"/>
    <w:rsid w:val="00EC7842"/>
    <w:rsid w:val="00ED508D"/>
    <w:rsid w:val="00ED5A40"/>
    <w:rsid w:val="00EE199E"/>
    <w:rsid w:val="00EE3149"/>
    <w:rsid w:val="00EE31EB"/>
    <w:rsid w:val="00EE4C8A"/>
    <w:rsid w:val="00EE6220"/>
    <w:rsid w:val="00EF02B1"/>
    <w:rsid w:val="00EF0C18"/>
    <w:rsid w:val="00EF161B"/>
    <w:rsid w:val="00EF7ED5"/>
    <w:rsid w:val="00F014FF"/>
    <w:rsid w:val="00F1056B"/>
    <w:rsid w:val="00F109D0"/>
    <w:rsid w:val="00F11087"/>
    <w:rsid w:val="00F13E67"/>
    <w:rsid w:val="00F14378"/>
    <w:rsid w:val="00F14B36"/>
    <w:rsid w:val="00F16051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5094C"/>
    <w:rsid w:val="00F53FCD"/>
    <w:rsid w:val="00F6100E"/>
    <w:rsid w:val="00F74963"/>
    <w:rsid w:val="00F773A0"/>
    <w:rsid w:val="00F77BD6"/>
    <w:rsid w:val="00F8223D"/>
    <w:rsid w:val="00F8321B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E5553"/>
    <w:rsid w:val="00FF0287"/>
    <w:rsid w:val="00FF1724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5">
    <w:name w:val="Grid Table 4 Accent 5"/>
    <w:basedOn w:val="TableNormal"/>
    <w:uiPriority w:val="49"/>
    <w:rsid w:val="00956660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51">
    <w:name w:val="Grid Table 4 - Accent 51"/>
    <w:basedOn w:val="TableNormal"/>
    <w:next w:val="GridTable4Accent5"/>
    <w:uiPriority w:val="49"/>
    <w:rsid w:val="007858B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84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odulguruku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5B34-4B41-4713-BF0B-FED9CA71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User</cp:lastModifiedBy>
  <cp:revision>607</cp:revision>
  <cp:lastPrinted>2016-02-15T05:38:00Z</cp:lastPrinted>
  <dcterms:created xsi:type="dcterms:W3CDTF">2016-08-26T05:34:00Z</dcterms:created>
  <dcterms:modified xsi:type="dcterms:W3CDTF">2025-03-02T11:17:00Z</dcterms:modified>
</cp:coreProperties>
</file>